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ED5170" w:rsidRPr="00F25FF1" w:rsidRDefault="00ED5170" w:rsidP="00D04909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CD3A8C" w:rsidRDefault="00ED5170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CD3A8C"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ED5170" w:rsidRPr="00F25FF1" w:rsidRDefault="00CD3A8C" w:rsidP="00CD3A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 w:rsidR="00CD3A8C"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ED5170" w:rsidRPr="00F25FF1" w:rsidRDefault="00ED5170" w:rsidP="00D049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7382" w:rsidRPr="00F25FF1" w:rsidRDefault="00077382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B41A5E">
        <w:rPr>
          <w:rFonts w:ascii="Times New Roman" w:hAnsi="Times New Roman"/>
          <w:b/>
          <w:sz w:val="20"/>
          <w:szCs w:val="20"/>
        </w:rPr>
        <w:t>29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B41A5E">
        <w:rPr>
          <w:rFonts w:ascii="Times New Roman" w:hAnsi="Times New Roman"/>
          <w:b/>
          <w:sz w:val="20"/>
          <w:szCs w:val="20"/>
        </w:rPr>
        <w:t>02</w:t>
      </w:r>
      <w:r w:rsidR="001862D2">
        <w:rPr>
          <w:rFonts w:ascii="Times New Roman" w:hAnsi="Times New Roman"/>
          <w:b/>
          <w:sz w:val="20"/>
          <w:szCs w:val="20"/>
        </w:rPr>
        <w:t>.0</w:t>
      </w:r>
      <w:r w:rsidR="00B41A5E">
        <w:rPr>
          <w:rFonts w:ascii="Times New Roman" w:hAnsi="Times New Roman"/>
          <w:b/>
          <w:sz w:val="20"/>
          <w:szCs w:val="20"/>
        </w:rPr>
        <w:t>4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EA0A44">
        <w:rPr>
          <w:rFonts w:ascii="Times New Roman" w:hAnsi="Times New Roman"/>
          <w:b/>
          <w:sz w:val="20"/>
          <w:szCs w:val="20"/>
        </w:rPr>
        <w:t>20</w:t>
      </w:r>
      <w:r w:rsidR="001862D2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C418C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 w:rsidR="00501F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CF3EBB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404346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404346" w:rsidRPr="00F25FF1">
        <w:rPr>
          <w:rFonts w:ascii="Times New Roman" w:hAnsi="Times New Roman"/>
          <w:sz w:val="20"/>
          <w:szCs w:val="20"/>
        </w:rPr>
      </w:r>
      <w:r w:rsidR="00404346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404346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404346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404346" w:rsidRPr="00F25FF1">
        <w:rPr>
          <w:rFonts w:ascii="Times New Roman" w:hAnsi="Times New Roman"/>
          <w:sz w:val="20"/>
          <w:szCs w:val="20"/>
        </w:rPr>
      </w:r>
      <w:r w:rsidR="00404346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404346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501FE9" w:rsidRPr="00AA5278">
        <w:rPr>
          <w:rFonts w:ascii="Times New Roman" w:eastAsia="Times New Roman" w:hAnsi="Times New Roman"/>
          <w:bCs/>
          <w:sz w:val="20"/>
          <w:szCs w:val="20"/>
          <w:lang w:eastAsia="ru-RU"/>
        </w:rPr>
        <w:t>силовые трансформаторы ТМГ.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9329A4">
        <w:rPr>
          <w:rFonts w:ascii="Times New Roman" w:hAnsi="Times New Roman"/>
          <w:sz w:val="20"/>
          <w:szCs w:val="20"/>
        </w:rPr>
        <w:t>не более 30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655"/>
        <w:gridCol w:w="1700"/>
        <w:gridCol w:w="3183"/>
      </w:tblGrid>
      <w:tr w:rsidR="00AA5278" w:rsidRPr="00F25FF1" w:rsidTr="00AA5278">
        <w:trPr>
          <w:trHeight w:val="4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Кол-во,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Начальная (максимальная) ц</w:t>
            </w:r>
            <w:r w:rsidRPr="00F25FF1">
              <w:rPr>
                <w:bCs/>
                <w:sz w:val="20"/>
              </w:rPr>
              <w:t>ена за ед.,</w:t>
            </w:r>
          </w:p>
          <w:p w:rsidR="00AA5278" w:rsidRPr="00F25FF1" w:rsidRDefault="00AA5278" w:rsidP="00D04909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</w:tr>
      <w:tr w:rsidR="00AA5278" w:rsidRPr="00F25FF1" w:rsidTr="00AA5278">
        <w:trPr>
          <w:trHeight w:val="4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620A4C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Pr="001862D2" w:rsidRDefault="00AA5278" w:rsidP="00DE61F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 w:rsidR="00B41A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ТМГ-630</w:t>
            </w:r>
            <w:r w:rsidR="00615B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/10-12 УХЛ1 10</w:t>
            </w:r>
            <w:r w:rsidRPr="001862D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1862D2">
              <w:rPr>
                <w:b/>
                <w:sz w:val="20"/>
                <w:szCs w:val="20"/>
              </w:rPr>
              <w:t>∆/У</w:t>
            </w:r>
            <w:r w:rsidRPr="001862D2">
              <w:rPr>
                <w:b/>
                <w:sz w:val="20"/>
                <w:szCs w:val="20"/>
                <w:vertAlign w:val="subscript"/>
              </w:rPr>
              <w:t xml:space="preserve">н-11  </w:t>
            </w:r>
            <w:r w:rsidRPr="001862D2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(тех</w:t>
            </w:r>
            <w:proofErr w:type="gramStart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рисоединение</w:t>
            </w:r>
            <w:r w:rsidR="00B41A5E">
              <w:rPr>
                <w:rFonts w:ascii="Times New Roman" w:hAnsi="Times New Roman"/>
                <w:b/>
                <w:sz w:val="20"/>
                <w:szCs w:val="20"/>
              </w:rPr>
              <w:t xml:space="preserve"> г. Пенза, ул. Рябова, 31)</w:t>
            </w:r>
            <w:r w:rsidRPr="001862D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AA5278" w:rsidP="00D04909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8" w:rsidRDefault="00B41A5E" w:rsidP="00700C51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408 480,00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01038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01038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010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1A5E">
        <w:rPr>
          <w:rFonts w:ascii="Times New Roman" w:hAnsi="Times New Roman" w:cs="Times New Roman"/>
          <w:b/>
          <w:i/>
          <w:sz w:val="20"/>
          <w:szCs w:val="20"/>
        </w:rPr>
        <w:t>408 480,00</w:t>
      </w:r>
      <w:r w:rsidR="003D47A4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00C51" w:rsidRPr="00010387">
        <w:rPr>
          <w:rFonts w:ascii="Times New Roman" w:hAnsi="Times New Roman" w:cs="Times New Roman"/>
          <w:b/>
          <w:i/>
          <w:sz w:val="20"/>
          <w:szCs w:val="20"/>
        </w:rPr>
        <w:t>руб.  с</w:t>
      </w:r>
      <w:r w:rsidR="007B4ED0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B41A5E">
        <w:rPr>
          <w:rFonts w:ascii="Times New Roman" w:hAnsi="Times New Roman" w:cs="Times New Roman"/>
          <w:b/>
          <w:i/>
          <w:sz w:val="20"/>
          <w:szCs w:val="20"/>
        </w:rPr>
        <w:t>340 400,00</w:t>
      </w:r>
      <w:r w:rsidR="00010387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D47A4" w:rsidRPr="00010387">
        <w:rPr>
          <w:rFonts w:ascii="Times New Roman" w:hAnsi="Times New Roman" w:cs="Times New Roman"/>
          <w:b/>
          <w:i/>
          <w:sz w:val="20"/>
          <w:szCs w:val="20"/>
        </w:rPr>
        <w:t>руб.</w:t>
      </w:r>
      <w:r w:rsidR="008346E0" w:rsidRPr="00010387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5E29B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13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B41A5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404346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404346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5E29B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B41A5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5E29B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27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B41A5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4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CC48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452DB4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52DB4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C06450" w:rsidRDefault="00A977A6" w:rsidP="00C06450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C06450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C06450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C06450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C06450">
        <w:rPr>
          <w:rFonts w:ascii="Times New Roman" w:hAnsi="Times New Roman"/>
          <w:b/>
          <w:sz w:val="20"/>
          <w:szCs w:val="20"/>
        </w:rPr>
        <w:t xml:space="preserve">             </w:t>
      </w:r>
      <w:r w:rsidRPr="00C06450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C06450" w:rsidRDefault="00A977A6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06450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C06450" w:rsidRDefault="00D04909" w:rsidP="00C06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16D6" w:rsidRPr="00C06450" w:rsidRDefault="007416D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1</w:t>
      </w:r>
      <w:r w:rsidR="00A977A6" w:rsidRPr="00C06450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32852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A4DCD" w:rsidRPr="00C06450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C418CA" w:rsidRPr="00C0645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</w:t>
      </w:r>
      <w:r w:rsidRPr="00C06450">
        <w:rPr>
          <w:rFonts w:ascii="Times New Roman" w:hAnsi="Times New Roman"/>
          <w:sz w:val="20"/>
          <w:szCs w:val="20"/>
        </w:rPr>
        <w:t xml:space="preserve">  А.Н. Мешков</w:t>
      </w:r>
    </w:p>
    <w:p w:rsidR="00AA5278" w:rsidRPr="00C06450" w:rsidRDefault="00AA5278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51E4" w:rsidRP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Default="00EB51E4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    </w:t>
      </w:r>
      <w:r w:rsidR="00AA5278" w:rsidRPr="00C06450">
        <w:rPr>
          <w:rFonts w:ascii="Times New Roman" w:hAnsi="Times New Roman"/>
          <w:sz w:val="20"/>
          <w:szCs w:val="20"/>
        </w:rPr>
        <w:t xml:space="preserve">    </w:t>
      </w:r>
      <w:r w:rsidRPr="00C06450">
        <w:rPr>
          <w:rFonts w:ascii="Times New Roman" w:hAnsi="Times New Roman"/>
          <w:sz w:val="20"/>
          <w:szCs w:val="20"/>
        </w:rPr>
        <w:t xml:space="preserve"> В.В. Репин</w:t>
      </w:r>
    </w:p>
    <w:p w:rsidR="00A977A6" w:rsidRPr="00C06450" w:rsidRDefault="00A977A6" w:rsidP="00C0645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EB51E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3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С.В. Шмырёв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4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</w:t>
      </w:r>
      <w:r w:rsidR="000E17DC" w:rsidRPr="00C06450">
        <w:rPr>
          <w:rFonts w:ascii="Times New Roman" w:hAnsi="Times New Roman"/>
          <w:sz w:val="20"/>
          <w:szCs w:val="20"/>
        </w:rPr>
        <w:t xml:space="preserve">                         </w:t>
      </w:r>
      <w:r w:rsidR="00431B82" w:rsidRPr="00C06450">
        <w:rPr>
          <w:rFonts w:ascii="Times New Roman" w:hAnsi="Times New Roman"/>
          <w:sz w:val="20"/>
          <w:szCs w:val="20"/>
        </w:rPr>
        <w:t xml:space="preserve">              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                                      М.Н. Лагуткин </w:t>
      </w:r>
    </w:p>
    <w:p w:rsidR="00032852" w:rsidRPr="00C06450" w:rsidRDefault="00032852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6D6" w:rsidRPr="00C06450" w:rsidRDefault="007416D6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7A6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5</w:t>
      </w:r>
      <w:r w:rsidR="00A977A6" w:rsidRPr="00C06450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                                </w:t>
      </w:r>
      <w:r w:rsidR="00CB575D" w:rsidRPr="00C06450">
        <w:rPr>
          <w:rFonts w:ascii="Times New Roman" w:hAnsi="Times New Roman"/>
          <w:sz w:val="20"/>
          <w:szCs w:val="20"/>
        </w:rPr>
        <w:t xml:space="preserve">          </w:t>
      </w:r>
      <w:r w:rsidR="00A977A6" w:rsidRPr="00C06450">
        <w:rPr>
          <w:rFonts w:ascii="Times New Roman" w:hAnsi="Times New Roman"/>
          <w:sz w:val="20"/>
          <w:szCs w:val="20"/>
        </w:rPr>
        <w:t xml:space="preserve">    С.Е. Елисеева</w:t>
      </w:r>
    </w:p>
    <w:p w:rsidR="00032852" w:rsidRPr="00C06450" w:rsidRDefault="00CB575D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 xml:space="preserve">                      </w:t>
      </w:r>
    </w:p>
    <w:p w:rsidR="007416D6" w:rsidRPr="00C06450" w:rsidRDefault="007416D6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A977A6" w:rsidRPr="00C06450" w:rsidRDefault="00452DB4" w:rsidP="00C0645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 w:rsidRPr="00C06450">
        <w:rPr>
          <w:b w:val="0"/>
          <w:i w:val="0"/>
        </w:rPr>
        <w:t>6</w:t>
      </w:r>
      <w:r w:rsidR="00A977A6" w:rsidRPr="00C06450">
        <w:rPr>
          <w:b w:val="0"/>
          <w:i w:val="0"/>
        </w:rPr>
        <w:t xml:space="preserve">. Начальник отдела логистики и конкурсных закупок                                                                      </w:t>
      </w:r>
      <w:r w:rsidR="00F61ECC" w:rsidRPr="00C06450">
        <w:rPr>
          <w:b w:val="0"/>
          <w:i w:val="0"/>
        </w:rPr>
        <w:t xml:space="preserve">    </w:t>
      </w:r>
      <w:r w:rsidR="00CB575D" w:rsidRPr="00C06450">
        <w:rPr>
          <w:b w:val="0"/>
          <w:i w:val="0"/>
        </w:rPr>
        <w:t xml:space="preserve">          </w:t>
      </w:r>
      <w:r w:rsidR="00F61ECC" w:rsidRPr="00C06450">
        <w:rPr>
          <w:b w:val="0"/>
          <w:i w:val="0"/>
        </w:rPr>
        <w:t xml:space="preserve">   </w:t>
      </w:r>
      <w:r w:rsidR="00A977A6" w:rsidRPr="00C06450">
        <w:rPr>
          <w:b w:val="0"/>
          <w:i w:val="0"/>
        </w:rPr>
        <w:t xml:space="preserve">  А.И. Назаров</w:t>
      </w: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6450" w:rsidRPr="00C06450" w:rsidRDefault="00C06450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2DB4" w:rsidRPr="00C06450" w:rsidRDefault="00452DB4" w:rsidP="00C064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645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         С.А. Лукьянов</w:t>
      </w:r>
    </w:p>
    <w:p w:rsidR="00A977A6" w:rsidRDefault="00A977A6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</w:pPr>
    </w:p>
    <w:p w:rsidR="00452DB4" w:rsidRPr="00452DB4" w:rsidRDefault="00452DB4" w:rsidP="00D04909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color w:val="FF0000"/>
          <w:sz w:val="20"/>
          <w:szCs w:val="20"/>
        </w:rPr>
        <w:sectPr w:rsidR="00452DB4" w:rsidRPr="00452DB4" w:rsidSect="00A977A6">
          <w:headerReference w:type="default" r:id="rId10"/>
          <w:footerReference w:type="default" r:id="rId11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B36E5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трансформатор</w:t>
      </w:r>
      <w:r w:rsidR="00452DB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CC4800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C06450">
        <w:trPr>
          <w:trHeight w:val="254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C06450">
        <w:trPr>
          <w:trHeight w:val="132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C06450">
        <w:trPr>
          <w:trHeight w:val="158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C06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  <w:r w:rsidR="00C064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C06450">
        <w:trPr>
          <w:trHeight w:val="70"/>
        </w:trPr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C0645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C064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251BD1" w:rsidRPr="00251BD1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</w:t>
      </w:r>
      <w:r w:rsidR="00C06450">
        <w:rPr>
          <w:rFonts w:ascii="Times New Roman" w:hAnsi="Times New Roman"/>
          <w:sz w:val="20"/>
          <w:szCs w:val="20"/>
        </w:rPr>
        <w:t xml:space="preserve">) товара, к размерам, упаковке, </w:t>
      </w:r>
      <w:r w:rsidRPr="00F25FF1">
        <w:rPr>
          <w:rFonts w:ascii="Times New Roman" w:hAnsi="Times New Roman"/>
          <w:sz w:val="20"/>
          <w:szCs w:val="20"/>
        </w:rPr>
        <w:t>отгрузке товар</w:t>
      </w:r>
      <w:r w:rsidR="00C06450">
        <w:rPr>
          <w:rFonts w:ascii="Times New Roman" w:hAnsi="Times New Roman"/>
          <w:sz w:val="20"/>
          <w:szCs w:val="20"/>
        </w:rPr>
        <w:t xml:space="preserve">а и иные требования, связанные  </w:t>
      </w:r>
      <w:r w:rsidRPr="00F25FF1">
        <w:rPr>
          <w:rFonts w:ascii="Times New Roman" w:hAnsi="Times New Roman"/>
          <w:sz w:val="20"/>
          <w:szCs w:val="20"/>
        </w:rPr>
        <w:t>с определением соответствия поставляемой продукции по</w:t>
      </w:r>
      <w:r w:rsidR="00C06450">
        <w:rPr>
          <w:rFonts w:ascii="Times New Roman" w:hAnsi="Times New Roman"/>
          <w:sz w:val="20"/>
          <w:szCs w:val="20"/>
        </w:rPr>
        <w:t xml:space="preserve">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имеет правовой статус оферты и бу</w:t>
      </w:r>
      <w:r w:rsidR="00C06450">
        <w:rPr>
          <w:rFonts w:ascii="Times New Roman" w:hAnsi="Times New Roman"/>
          <w:sz w:val="20"/>
          <w:szCs w:val="20"/>
        </w:rPr>
        <w:t xml:space="preserve">дет рассматриваться заказчиком  </w:t>
      </w:r>
      <w:r w:rsidRPr="00F25FF1">
        <w:rPr>
          <w:rFonts w:ascii="Times New Roman" w:hAnsi="Times New Roman"/>
          <w:sz w:val="20"/>
          <w:szCs w:val="20"/>
        </w:rPr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>При определении условий договора ис</w:t>
      </w:r>
      <w:r w:rsidR="00C06450">
        <w:rPr>
          <w:rFonts w:ascii="Times New Roman" w:hAnsi="Times New Roman"/>
          <w:sz w:val="20"/>
          <w:szCs w:val="20"/>
        </w:rPr>
        <w:t xml:space="preserve">пользуются следующие документы  </w:t>
      </w:r>
      <w:r w:rsidRPr="00F25FF1">
        <w:rPr>
          <w:rFonts w:ascii="Times New Roman" w:hAnsi="Times New Roman"/>
          <w:sz w:val="20"/>
          <w:szCs w:val="20"/>
        </w:rPr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251BD1" w:rsidRPr="00251BD1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формируемых в ходе проведения закупки протокол</w:t>
      </w:r>
      <w:r w:rsidR="00C06450">
        <w:rPr>
          <w:rFonts w:ascii="Times New Roman" w:hAnsi="Times New Roman"/>
          <w:sz w:val="20"/>
          <w:szCs w:val="20"/>
        </w:rPr>
        <w:t xml:space="preserve">ах указываются данные </w:t>
      </w:r>
      <w:r w:rsidRPr="00F25FF1">
        <w:rPr>
          <w:rFonts w:ascii="Times New Roman" w:hAnsi="Times New Roman"/>
          <w:sz w:val="20"/>
          <w:szCs w:val="20"/>
        </w:rPr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</w:t>
      </w:r>
      <w:r w:rsidR="00C06450">
        <w:rPr>
          <w:rFonts w:ascii="Times New Roman" w:hAnsi="Times New Roman"/>
          <w:sz w:val="20"/>
          <w:szCs w:val="20"/>
        </w:rPr>
        <w:t>ом от 06.04.2011 </w:t>
      </w:r>
      <w:r w:rsidRPr="00F25FF1">
        <w:rPr>
          <w:rFonts w:ascii="Times New Roman" w:hAnsi="Times New Roman"/>
          <w:sz w:val="20"/>
          <w:szCs w:val="20"/>
        </w:rPr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251BD1" w:rsidRPr="00251BD1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251BD1" w:rsidRPr="00251BD1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251BD1" w:rsidRPr="00251BD1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251BD1" w:rsidRPr="00251BD1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251BD1" w:rsidRPr="00251BD1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251BD1" w:rsidRPr="00251BD1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251BD1" w:rsidRPr="00251BD1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251BD1" w:rsidRPr="00251BD1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251BD1" w:rsidRPr="00251BD1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251BD1" w:rsidRPr="00251BD1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251BD1" w:rsidRPr="00251BD1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251BD1" w:rsidRPr="00251BD1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251BD1" w:rsidRPr="00251BD1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251BD1" w:rsidRPr="00251BD1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</w:t>
      </w:r>
      <w:r w:rsidR="00C06450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lastRenderedPageBreak/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тех </w:t>
      </w:r>
      <w:r w:rsidR="00C06450">
        <w:rPr>
          <w:rFonts w:ascii="Times New Roman" w:hAnsi="Times New Roman"/>
          <w:sz w:val="20"/>
          <w:szCs w:val="20"/>
        </w:rPr>
        <w:t xml:space="preserve">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участник процедуры закупки вправе подать только одну заявку.</w:t>
      </w:r>
      <w:bookmarkEnd w:id="212"/>
      <w:r w:rsidR="00C06450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</w:t>
      </w:r>
      <w:r w:rsidR="00C06450">
        <w:rPr>
          <w:rFonts w:ascii="Times New Roman" w:hAnsi="Times New Roman"/>
          <w:sz w:val="20"/>
          <w:szCs w:val="20"/>
        </w:rPr>
        <w:t xml:space="preserve">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 процедуры закупки должен использовать общеизвестные (стандартные) показатели, терми</w:t>
      </w:r>
      <w:r w:rsidR="00C06450">
        <w:rPr>
          <w:rFonts w:ascii="Times New Roman" w:hAnsi="Times New Roman"/>
          <w:sz w:val="20"/>
          <w:szCs w:val="20"/>
        </w:rPr>
        <w:t xml:space="preserve">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251BD1" w:rsidRPr="00251BD1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с </w:t>
      </w:r>
      <w:r w:rsidR="00C06450">
        <w:rPr>
          <w:rFonts w:ascii="Times New Roman" w:hAnsi="Times New Roman"/>
          <w:sz w:val="20"/>
          <w:szCs w:val="20"/>
        </w:rPr>
        <w:t>ценой договора, превышающей НМЦ</w:t>
      </w:r>
      <w:r w:rsidRPr="00F25FF1">
        <w:rPr>
          <w:rFonts w:ascii="Times New Roman" w:hAnsi="Times New Roman"/>
          <w:sz w:val="20"/>
          <w:szCs w:val="20"/>
        </w:rPr>
        <w:t xml:space="preserve">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2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</w:t>
      </w:r>
      <w:r w:rsidR="00C06450">
        <w:rPr>
          <w:rFonts w:ascii="Times New Roman" w:hAnsi="Times New Roman"/>
          <w:sz w:val="20"/>
          <w:szCs w:val="20"/>
        </w:rPr>
        <w:t xml:space="preserve">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251BD1" w:rsidRPr="00251BD1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fldSimple w:instr=" REF _Ref415072934 \r \h  \* MERGEFORMAT ">
        <w:r w:rsidR="00251BD1" w:rsidRPr="00251BD1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>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251BD1" w:rsidRPr="00363D58" w:rsidRDefault="00251BD1" w:rsidP="00251BD1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ранжировке,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ранжировке)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lastRenderedPageBreak/>
        <w:t xml:space="preserve">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ранжировке)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251BD1" w:rsidRPr="00251BD1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251BD1" w:rsidRPr="00251BD1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занявшего первое место в ранжировке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ранжировке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ранжировке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A4DCD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251BD1" w:rsidRPr="00251BD1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</w:t>
      </w:r>
      <w:r w:rsidR="00C06450">
        <w:rPr>
          <w:rFonts w:ascii="Times New Roman" w:hAnsi="Times New Roman"/>
          <w:sz w:val="20"/>
          <w:szCs w:val="20"/>
        </w:rPr>
        <w:t xml:space="preserve">тся договор, такого обеспечения </w:t>
      </w:r>
      <w:r w:rsidRPr="00F25FF1">
        <w:rPr>
          <w:rFonts w:ascii="Times New Roman" w:hAnsi="Times New Roman"/>
          <w:sz w:val="20"/>
          <w:szCs w:val="20"/>
        </w:rPr>
        <w:t xml:space="preserve">в размере, порядке и форме, предусмотренными подразделом </w:t>
      </w:r>
      <w:fldSimple w:instr=" REF _Ref414043912 \w \h  \* MERGEFORMAT ">
        <w:r w:rsidR="00251BD1" w:rsidRPr="00251BD1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</w:t>
      </w:r>
      <w:r w:rsidR="00C06450">
        <w:rPr>
          <w:rFonts w:ascii="Times New Roman" w:hAnsi="Times New Roman"/>
          <w:sz w:val="20"/>
          <w:szCs w:val="20"/>
        </w:rPr>
        <w:t>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t>29 информационной карты) направляется лицом, с которым заключается договор, в адрес заказчика</w:t>
      </w:r>
      <w:r w:rsidR="00C06450">
        <w:rPr>
          <w:rFonts w:ascii="Times New Roman" w:hAnsi="Times New Roman"/>
          <w:sz w:val="20"/>
          <w:szCs w:val="20"/>
        </w:rPr>
        <w:t xml:space="preserve">, </w:t>
      </w:r>
      <w:r w:rsidRPr="00F25FF1">
        <w:rPr>
          <w:rFonts w:ascii="Times New Roman" w:hAnsi="Times New Roman"/>
          <w:sz w:val="20"/>
          <w:szCs w:val="20"/>
        </w:rPr>
        <w:t>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официального размещения протокола, которы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м были подведены итоги закупки  </w:t>
      </w:r>
      <w:r w:rsidRPr="00F25FF1">
        <w:rPr>
          <w:rFonts w:ascii="Times New Roman" w:eastAsia="Arial Unicode MS" w:hAnsi="Times New Roman"/>
          <w:sz w:val="20"/>
          <w:szCs w:val="20"/>
        </w:rPr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</w:t>
      </w:r>
      <w:r w:rsidR="00C06450">
        <w:rPr>
          <w:rFonts w:ascii="Times New Roman" w:eastAsia="Arial Unicode MS" w:hAnsi="Times New Roman"/>
          <w:sz w:val="20"/>
          <w:szCs w:val="20"/>
        </w:rPr>
        <w:t xml:space="preserve">в случае, если они проводились  </w:t>
      </w:r>
      <w:r w:rsidRPr="00F25FF1">
        <w:rPr>
          <w:rFonts w:ascii="Times New Roman" w:eastAsia="Arial Unicode MS" w:hAnsi="Times New Roman"/>
          <w:sz w:val="20"/>
          <w:szCs w:val="20"/>
        </w:rPr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Заключение договора в электронной форме</w:t>
      </w:r>
      <w:r w:rsidR="00C06450">
        <w:rPr>
          <w:rFonts w:ascii="Times New Roman" w:hAnsi="Times New Roman"/>
          <w:sz w:val="20"/>
          <w:szCs w:val="20"/>
        </w:rPr>
        <w:t xml:space="preserve"> осуществляется в соответствии  </w:t>
      </w:r>
      <w:r w:rsidRPr="00F25FF1">
        <w:rPr>
          <w:rFonts w:ascii="Times New Roman" w:hAnsi="Times New Roman"/>
          <w:sz w:val="20"/>
          <w:szCs w:val="20"/>
        </w:rPr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lastRenderedPageBreak/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</w:t>
      </w:r>
      <w:r w:rsidR="00C06450">
        <w:rPr>
          <w:rFonts w:ascii="Times New Roman" w:hAnsi="Times New Roman"/>
          <w:sz w:val="20"/>
          <w:szCs w:val="20"/>
        </w:rPr>
        <w:t xml:space="preserve">ской) гарантии, выданной банком </w:t>
      </w:r>
      <w:r w:rsidRPr="00F25FF1">
        <w:rPr>
          <w:rFonts w:ascii="Times New Roman" w:hAnsi="Times New Roman"/>
          <w:sz w:val="20"/>
          <w:szCs w:val="20"/>
        </w:rPr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путем перечисления денежных средств на расче</w:t>
      </w:r>
      <w:r w:rsidR="00C06450">
        <w:rPr>
          <w:rFonts w:ascii="Times New Roman" w:hAnsi="Times New Roman"/>
          <w:sz w:val="20"/>
          <w:szCs w:val="20"/>
        </w:rPr>
        <w:t xml:space="preserve">тный счет заказчика, указанный  </w:t>
      </w:r>
      <w:r w:rsidRPr="00F25FF1">
        <w:rPr>
          <w:rFonts w:ascii="Times New Roman" w:hAnsi="Times New Roman"/>
          <w:sz w:val="20"/>
          <w:szCs w:val="20"/>
        </w:rPr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неисполнения или ненадлежащего исполнения поставщиком своих обязательств по договору заказчик будет обязан удержать о</w:t>
      </w:r>
      <w:r w:rsidR="00C06450">
        <w:rPr>
          <w:rFonts w:ascii="Times New Roman" w:hAnsi="Times New Roman"/>
          <w:sz w:val="20"/>
          <w:szCs w:val="20"/>
        </w:rPr>
        <w:t xml:space="preserve">беспечение исполнения договора  </w:t>
      </w:r>
      <w:r w:rsidRPr="00F25FF1">
        <w:rPr>
          <w:rFonts w:ascii="Times New Roman" w:hAnsi="Times New Roman"/>
          <w:sz w:val="20"/>
          <w:szCs w:val="20"/>
        </w:rPr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="00C06450">
        <w:rPr>
          <w:rFonts w:ascii="Times New Roman" w:hAnsi="Times New Roman"/>
          <w:sz w:val="20"/>
          <w:szCs w:val="20"/>
        </w:rPr>
        <w:t xml:space="preserve">пункте  </w:t>
      </w:r>
      <w:r w:rsidRPr="00F25FF1">
        <w:rPr>
          <w:rFonts w:ascii="Times New Roman" w:hAnsi="Times New Roman"/>
          <w:sz w:val="20"/>
          <w:szCs w:val="20"/>
        </w:rPr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подтверждения соответствия установленным требованиям, участник процедуры закупки обязан приложить в составе заявки докумен</w:t>
      </w:r>
      <w:r w:rsidR="00C06450">
        <w:rPr>
          <w:rFonts w:ascii="Times New Roman" w:hAnsi="Times New Roman"/>
          <w:sz w:val="20"/>
          <w:szCs w:val="20"/>
        </w:rPr>
        <w:t xml:space="preserve">ты, перечисленные в приложении  </w:t>
      </w:r>
      <w:r w:rsidRPr="00F25FF1">
        <w:rPr>
          <w:rFonts w:ascii="Times New Roman" w:hAnsi="Times New Roman"/>
          <w:sz w:val="20"/>
          <w:szCs w:val="20"/>
        </w:rPr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</w:t>
      </w:r>
      <w:r w:rsidR="00C06450">
        <w:rPr>
          <w:rFonts w:ascii="Times New Roman" w:hAnsi="Times New Roman"/>
          <w:sz w:val="20"/>
          <w:szCs w:val="20"/>
        </w:rPr>
        <w:t xml:space="preserve">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t xml:space="preserve">а также реализация прав и обязанностей, требующих специальной правоспособности, осуществляются исключительно лицами, входящими в </w:t>
      </w:r>
      <w:r w:rsidR="00C06450">
        <w:rPr>
          <w:rFonts w:ascii="Times New Roman" w:hAnsi="Times New Roman"/>
          <w:sz w:val="20"/>
          <w:szCs w:val="20"/>
        </w:rPr>
        <w:t xml:space="preserve">состав коллективного участника  </w:t>
      </w:r>
      <w:r w:rsidRPr="00F25FF1">
        <w:rPr>
          <w:rFonts w:ascii="Times New Roman" w:hAnsi="Times New Roman"/>
          <w:sz w:val="20"/>
          <w:szCs w:val="20"/>
        </w:rPr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предусмотрен механизм установления ответственности коллективного участника за неисполнение или не</w:t>
      </w:r>
      <w:r w:rsidR="00C06450">
        <w:rPr>
          <w:rFonts w:ascii="Times New Roman" w:hAnsi="Times New Roman"/>
          <w:sz w:val="20"/>
          <w:szCs w:val="20"/>
        </w:rPr>
        <w:t xml:space="preserve">надлежащее исполнение договора  </w:t>
      </w:r>
      <w:r w:rsidRPr="00F25FF1">
        <w:rPr>
          <w:rFonts w:ascii="Times New Roman" w:hAnsi="Times New Roman"/>
          <w:sz w:val="20"/>
          <w:szCs w:val="20"/>
        </w:rPr>
        <w:t>с заказчиком, в том числе объем ответственности каждого лица, входящего в состав коллективного участника</w:t>
      </w:r>
      <w:r w:rsidR="00C06450">
        <w:rPr>
          <w:rFonts w:ascii="Times New Roman" w:hAnsi="Times New Roman"/>
          <w:sz w:val="20"/>
          <w:szCs w:val="20"/>
        </w:rPr>
        <w:t xml:space="preserve"> или порядок его определения, а также порядок предъявления  </w:t>
      </w:r>
      <w:r w:rsidRPr="00F25FF1">
        <w:rPr>
          <w:rFonts w:ascii="Times New Roman" w:hAnsi="Times New Roman"/>
          <w:sz w:val="20"/>
          <w:szCs w:val="20"/>
        </w:rPr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lastRenderedPageBreak/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</w:t>
      </w:r>
      <w:r w:rsidR="00C06450">
        <w:rPr>
          <w:rFonts w:ascii="Times New Roman" w:hAnsi="Times New Roman"/>
          <w:sz w:val="20"/>
          <w:szCs w:val="20"/>
        </w:rPr>
        <w:t xml:space="preserve">с приложением 1, предъявляются  </w:t>
      </w:r>
      <w:r w:rsidRPr="00F25FF1">
        <w:rPr>
          <w:rFonts w:ascii="Times New Roman" w:hAnsi="Times New Roman"/>
          <w:sz w:val="20"/>
          <w:szCs w:val="20"/>
        </w:rPr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251BD1" w:rsidRPr="00251BD1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010387" w:rsidRDefault="00E563F1" w:rsidP="0001038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трансформатор</w:t>
            </w:r>
            <w:r w:rsidR="00452D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ТМГ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0E17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404346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04346" w:rsidRPr="00F25FF1">
              <w:rPr>
                <w:rFonts w:ascii="Times New Roman" w:hAnsi="Times New Roman"/>
                <w:sz w:val="20"/>
                <w:szCs w:val="20"/>
              </w:rPr>
            </w:r>
            <w:r w:rsidR="00404346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404346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010387" w:rsidRDefault="00B41A5E" w:rsidP="0013066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408 480,00 руб.  с НДС/340 400,00</w:t>
            </w:r>
            <w:r w:rsidR="00010387" w:rsidRPr="00010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4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418C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5E29B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13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700C5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качеству, количеству /объему, 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г. Пенза, ул. </w:t>
            </w:r>
            <w:r w:rsidR="004B4C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9329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9A4">
              <w:rPr>
                <w:rFonts w:ascii="Times New Roman" w:hAnsi="Times New Roman"/>
                <w:sz w:val="20"/>
                <w:szCs w:val="20"/>
              </w:rPr>
              <w:t>30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4346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404346" w:rsidRPr="00F25FF1">
              <w:rPr>
                <w:rFonts w:ascii="Times New Roman" w:hAnsi="Times New Roman"/>
                <w:sz w:val="20"/>
                <w:szCs w:val="20"/>
              </w:rPr>
            </w:r>
            <w:r w:rsidR="00404346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404346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700C51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5E29B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09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5E29B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13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7B4ED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5E29B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5E29B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7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15B8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B41A5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F306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CC480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452DB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452DB4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251BD1" w:rsidRPr="00251BD1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251BD1" w:rsidRPr="00251BD1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251BD1" w:rsidRPr="00251BD1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251BD1" w:rsidRPr="00251BD1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251BD1" w:rsidRPr="00251BD1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404346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5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404346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7"/>
          <w:footerReference w:type="first" r:id="rId18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02C60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02C60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010387">
        <w:trPr>
          <w:trHeight w:val="590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4B47C4" w:rsidRDefault="00C75FE9" w:rsidP="00010387">
            <w:pPr>
              <w:pStyle w:val="a9"/>
              <w:tabs>
                <w:tab w:val="left" w:pos="426"/>
                <w:tab w:val="left" w:pos="709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251BD1" w:rsidRPr="00251BD1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251BD1" w:rsidRPr="00251BD1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9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C06450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  <w:r w:rsidR="00C06450">
              <w:rPr>
                <w:rFonts w:ascii="Times New Roman" w:hAnsi="Times New Roman"/>
                <w:sz w:val="20"/>
                <w:szCs w:val="20"/>
              </w:rPr>
              <w:t xml:space="preserve"> (в </w:t>
            </w:r>
            <w:r w:rsidR="00C06450">
              <w:rPr>
                <w:rFonts w:ascii="Times New Roman" w:hAnsi="Times New Roman"/>
                <w:sz w:val="20"/>
                <w:szCs w:val="20"/>
                <w:lang w:val="en-US"/>
              </w:rPr>
              <w:t>Word-</w:t>
            </w:r>
            <w:r w:rsidR="00C06450">
              <w:rPr>
                <w:rFonts w:ascii="Times New Roman" w:hAnsi="Times New Roman"/>
                <w:sz w:val="20"/>
                <w:szCs w:val="20"/>
              </w:rPr>
              <w:t>версии)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404346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404346" w:rsidRPr="00F25FF1">
        <w:rPr>
          <w:rFonts w:ascii="Times New Roman" w:hAnsi="Times New Roman"/>
          <w:sz w:val="20"/>
          <w:szCs w:val="20"/>
        </w:rPr>
        <w:fldChar w:fldCharType="separate"/>
      </w:r>
      <w:r w:rsidR="00251BD1">
        <w:rPr>
          <w:rFonts w:ascii="Times New Roman" w:hAnsi="Times New Roman"/>
          <w:noProof/>
          <w:sz w:val="20"/>
          <w:szCs w:val="20"/>
        </w:rPr>
        <w:t>1</w:t>
      </w:r>
      <w:r w:rsidR="00404346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AB77A9" w:rsidRDefault="00AB77A9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</w:t>
      </w:r>
      <w:r w:rsidR="00097685" w:rsidRPr="00AB77A9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251BD1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CC4800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p w:rsidR="00F5342B" w:rsidRPr="00F25FF1" w:rsidRDefault="00F5342B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</w:p>
    <w:tbl>
      <w:tblPr>
        <w:tblpPr w:leftFromText="180" w:rightFromText="180" w:vertAnchor="text" w:horzAnchor="margin" w:tblpX="148" w:tblpY="12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1625"/>
        <w:gridCol w:w="1516"/>
        <w:gridCol w:w="841"/>
        <w:gridCol w:w="1842"/>
        <w:gridCol w:w="1134"/>
        <w:gridCol w:w="1276"/>
        <w:gridCol w:w="1418"/>
      </w:tblGrid>
      <w:tr w:rsidR="00DF6C8C" w:rsidRPr="00C06450" w:rsidTr="00702A7A">
        <w:trPr>
          <w:trHeight w:val="74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6450">
              <w:rPr>
                <w:b/>
                <w:sz w:val="18"/>
                <w:szCs w:val="18"/>
              </w:rPr>
              <w:t>/</w:t>
            </w:r>
            <w:proofErr w:type="spellStart"/>
            <w:r w:rsidRPr="00C06450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ГОСТ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06450">
              <w:rPr>
                <w:b/>
                <w:sz w:val="18"/>
                <w:szCs w:val="18"/>
              </w:rPr>
              <w:t>Кол-во, шт.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Комплектация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Требуемые значения</w:t>
            </w:r>
          </w:p>
          <w:p w:rsidR="00DF6C8C" w:rsidRPr="00C06450" w:rsidRDefault="00DF6C8C" w:rsidP="00702A7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>Параметров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C06450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6450">
              <w:rPr>
                <w:rFonts w:ascii="Times New Roman" w:hAnsi="Times New Roman"/>
                <w:b/>
                <w:sz w:val="18"/>
                <w:szCs w:val="18"/>
              </w:rPr>
              <w:t xml:space="preserve">Предлагаемые значения параметров </w:t>
            </w:r>
          </w:p>
        </w:tc>
      </w:tr>
      <w:tr w:rsidR="00DF6C8C" w:rsidRPr="00F25FF1" w:rsidTr="00702A7A">
        <w:trPr>
          <w:trHeight w:val="30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8C" w:rsidRPr="00F25FF1" w:rsidRDefault="00DF6C8C" w:rsidP="00702A7A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Потери короткого замыкания </w:t>
            </w:r>
            <w:proofErr w:type="gramStart"/>
            <w:r>
              <w:rPr>
                <w:b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8C" w:rsidRPr="008261C4" w:rsidRDefault="00DF6C8C" w:rsidP="00702A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41A5E" w:rsidRPr="00F25FF1" w:rsidTr="00702A7A">
        <w:trPr>
          <w:trHeight w:val="12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Default="00B41A5E" w:rsidP="00B41A5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CC4800" w:rsidRDefault="00B41A5E" w:rsidP="00B41A5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ТМГ-630/10-12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 w:rsidRPr="00CC480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CC4800">
              <w:rPr>
                <w:b/>
                <w:sz w:val="20"/>
                <w:szCs w:val="20"/>
              </w:rPr>
              <w:t>∆/У</w:t>
            </w:r>
            <w:r w:rsidRPr="00CC4800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F25FF1" w:rsidRDefault="00B41A5E" w:rsidP="00B41A5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25FF1">
              <w:rPr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b/>
                <w:sz w:val="20"/>
                <w:szCs w:val="20"/>
              </w:rPr>
              <w:t xml:space="preserve"> 52719-2007</w:t>
            </w:r>
          </w:p>
          <w:p w:rsidR="00B41A5E" w:rsidRPr="00F25FF1" w:rsidRDefault="00B41A5E" w:rsidP="00B41A5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B41A5E" w:rsidRPr="00F25FF1" w:rsidRDefault="00B41A5E" w:rsidP="00B41A5E">
            <w:pPr>
              <w:pStyle w:val="afff1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Default="00B41A5E" w:rsidP="00B41A5E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F25FF1" w:rsidRDefault="00B41A5E" w:rsidP="00B41A5E">
            <w:pPr>
              <w:pStyle w:val="afff1"/>
              <w:numPr>
                <w:ilvl w:val="0"/>
                <w:numId w:val="38"/>
              </w:numPr>
              <w:tabs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F25FF1">
              <w:rPr>
                <w:b/>
                <w:color w:val="000000"/>
                <w:sz w:val="20"/>
                <w:szCs w:val="20"/>
              </w:rPr>
              <w:t>Контактные зажимы на шпильке 0,4кВ обязательные к поставке на каждый вид трансформатора.</w:t>
            </w:r>
          </w:p>
          <w:p w:rsidR="00B41A5E" w:rsidRPr="00F25FF1" w:rsidRDefault="00B41A5E" w:rsidP="00B41A5E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F25FF1">
              <w:rPr>
                <w:b/>
                <w:sz w:val="20"/>
                <w:szCs w:val="20"/>
              </w:rPr>
              <w:t xml:space="preserve">На швеллерах, устанавливаются </w:t>
            </w:r>
            <w:r w:rsidRPr="00F25FF1">
              <w:rPr>
                <w:b/>
                <w:bCs/>
                <w:sz w:val="20"/>
                <w:szCs w:val="20"/>
              </w:rPr>
              <w:t>транспортировочные</w:t>
            </w:r>
            <w:r w:rsidRPr="00F25FF1">
              <w:rPr>
                <w:b/>
                <w:sz w:val="20"/>
                <w:szCs w:val="20"/>
              </w:rPr>
              <w:t xml:space="preserve"> ролики.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250914" w:rsidRDefault="00B41A5E" w:rsidP="00B41A5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250914" w:rsidRDefault="00B41A5E" w:rsidP="00B41A5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F25FF1" w:rsidRDefault="00B41A5E" w:rsidP="00B41A5E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251BD1" w:rsidRPr="008261C4" w:rsidRDefault="00251BD1" w:rsidP="00251B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1BD1" w:rsidRDefault="00251BD1" w:rsidP="00251BD1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B61F73" w:rsidRPr="008261C4" w:rsidRDefault="00B61F73" w:rsidP="00B61F73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B61F73" w:rsidRPr="008261C4" w:rsidTr="00B61F73">
        <w:tc>
          <w:tcPr>
            <w:tcW w:w="3960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1F73" w:rsidRPr="008261C4" w:rsidTr="00B61F73">
        <w:tc>
          <w:tcPr>
            <w:tcW w:w="3960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B61F73" w:rsidRPr="008261C4" w:rsidRDefault="00B61F73" w:rsidP="00B61F7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B61F73" w:rsidRPr="008261C4" w:rsidRDefault="00B61F73" w:rsidP="00B61F7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B61F73" w:rsidRPr="008261C4" w:rsidRDefault="00B61F73" w:rsidP="00B61F73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B61F73" w:rsidRPr="00B721D8" w:rsidRDefault="00B61F73" w:rsidP="00B61F73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B61F73" w:rsidRPr="008261C4" w:rsidRDefault="00B61F73" w:rsidP="00B61F73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lastRenderedPageBreak/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B61F73" w:rsidRPr="00B12EC6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B61F73" w:rsidRPr="00E16E2A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B61F73" w:rsidRPr="00F35015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B61F73" w:rsidRDefault="00B61F73" w:rsidP="00B61F73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251BD1" w:rsidRPr="00CF63B6" w:rsidRDefault="00251BD1" w:rsidP="00251BD1">
      <w:pPr>
        <w:pStyle w:val="aff0"/>
        <w:numPr>
          <w:ilvl w:val="3"/>
          <w:numId w:val="45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251BD1" w:rsidRPr="00B12EC6" w:rsidRDefault="00251BD1" w:rsidP="00251BD1">
      <w:pPr>
        <w:pStyle w:val="aff0"/>
        <w:tabs>
          <w:tab w:val="clear" w:pos="851"/>
          <w:tab w:val="clear" w:pos="993"/>
          <w:tab w:val="left" w:pos="426"/>
          <w:tab w:val="left" w:pos="1985"/>
        </w:tabs>
        <w:spacing w:line="240" w:lineRule="auto"/>
        <w:ind w:left="426" w:right="34" w:firstLine="0"/>
        <w:rPr>
          <w:b w:val="0"/>
          <w:sz w:val="20"/>
        </w:rPr>
      </w:pPr>
    </w:p>
    <w:p w:rsidR="00003B5A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B721D8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B721D8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B721D8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251BD1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4111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            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DA4173" w:rsidP="00DA4173">
      <w:pPr>
        <w:spacing w:after="0" w:line="240" w:lineRule="auto"/>
        <w:ind w:right="3684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                        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="006E6604"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251BD1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404346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DA4173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20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программах партнерства отдельных заказчиков с субъектами малого и среднего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bookmarkStart w:id="547" w:name="sub_10122"/>
      <w:r w:rsidRPr="00DA4173">
        <w:rPr>
          <w:rFonts w:ascii="Times New Roman" w:hAnsi="Times New Roman" w:cs="Times New Roman"/>
          <w:sz w:val="16"/>
          <w:szCs w:val="16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DA4173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DA4173">
        <w:rPr>
          <w:rFonts w:ascii="Times New Roman" w:hAnsi="Times New Roman" w:cs="Times New Roman"/>
          <w:sz w:val="16"/>
          <w:szCs w:val="16"/>
        </w:rPr>
        <w:t xml:space="preserve">   </w:t>
      </w:r>
      <w:r w:rsidR="00DA41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A4173">
        <w:rPr>
          <w:rFonts w:ascii="Times New Roman" w:hAnsi="Times New Roman" w:cs="Times New Roman"/>
          <w:sz w:val="16"/>
          <w:szCs w:val="16"/>
        </w:rPr>
        <w:t xml:space="preserve">  (фамилия, имя, отчество (при наличии) </w:t>
      </w:r>
      <w:proofErr w:type="gramStart"/>
      <w:r w:rsidRPr="00DA4173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DA4173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24499E" w:rsidRDefault="0024499E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622" w:rsidRPr="00E12D8F" w:rsidTr="00F30622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22" w:rsidRPr="00E12D8F" w:rsidRDefault="00F30622" w:rsidP="00F30622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2" w:rsidRPr="00E12D8F" w:rsidRDefault="00F30622" w:rsidP="00F3062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B721D8" w:rsidRDefault="00B721D8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Условия оплаты*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Сроки поставки*</w:t>
      </w:r>
      <w:r w:rsidR="00F30622" w:rsidRPr="00C60C80">
        <w:rPr>
          <w:rFonts w:ascii="Times New Roman" w:hAnsi="Times New Roman"/>
          <w:sz w:val="20"/>
          <w:szCs w:val="20"/>
        </w:rPr>
        <w:t>:</w:t>
      </w:r>
      <w:r w:rsidR="00F30622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251BD1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</w:t>
      </w:r>
      <w:r w:rsidR="00F30622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изготовитель**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F30622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0622" w:rsidRPr="00C60C80" w:rsidRDefault="00F30622" w:rsidP="00F306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F30622" w:rsidRPr="00251BD1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F30622" w:rsidRPr="00251BD1" w:rsidTr="00F30622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F30622" w:rsidRPr="00251BD1" w:rsidRDefault="00F30622" w:rsidP="00F30622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D1">
              <w:rPr>
                <w:rFonts w:ascii="Times New Roman" w:hAnsi="Times New Roman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F30622" w:rsidRPr="00251BD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F30622" w:rsidRPr="00F25FF1" w:rsidRDefault="00F30622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7C7D40" w:rsidRPr="00D3796C" w:rsidRDefault="007C7D40" w:rsidP="007C7D40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51BD1" w:rsidRPr="00D3796C" w:rsidRDefault="00251BD1" w:rsidP="00251BD1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251BD1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251BD1" w:rsidRPr="00D3796C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1BD1" w:rsidRPr="00D3796C" w:rsidRDefault="00251BD1" w:rsidP="00251BD1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523D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B41A5E">
        <w:rPr>
          <w:rFonts w:ascii="Times New Roman" w:hAnsi="Times New Roman"/>
          <w:sz w:val="20"/>
          <w:szCs w:val="20"/>
        </w:rPr>
        <w:t>29-э ЗК-ПГЭС от 02</w:t>
      </w:r>
      <w:r w:rsidR="00DA4173">
        <w:rPr>
          <w:rFonts w:ascii="Times New Roman" w:hAnsi="Times New Roman"/>
          <w:sz w:val="20"/>
          <w:szCs w:val="20"/>
        </w:rPr>
        <w:t>.0</w:t>
      </w:r>
      <w:r w:rsidR="00B41A5E">
        <w:rPr>
          <w:rFonts w:ascii="Times New Roman" w:hAnsi="Times New Roman"/>
          <w:sz w:val="20"/>
          <w:szCs w:val="20"/>
        </w:rPr>
        <w:t>4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9329A4">
        <w:rPr>
          <w:sz w:val="20"/>
          <w:szCs w:val="20"/>
        </w:rPr>
        <w:t xml:space="preserve"> 30 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</w:t>
      </w:r>
      <w:r w:rsidR="00010387">
        <w:rPr>
          <w:sz w:val="20"/>
          <w:szCs w:val="20"/>
        </w:rPr>
        <w:t>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DA4173">
        <w:rPr>
          <w:b/>
          <w:i w:val="0"/>
          <w:sz w:val="20"/>
          <w:szCs w:val="20"/>
        </w:rPr>
        <w:t>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B721D8" w:rsidRDefault="00B721D8" w:rsidP="007D783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B721D8" w:rsidRPr="000E5E0C" w:rsidRDefault="00CA5F9E" w:rsidP="000E5E0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721D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99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127"/>
        <w:gridCol w:w="1701"/>
        <w:gridCol w:w="1134"/>
        <w:gridCol w:w="1417"/>
        <w:gridCol w:w="709"/>
        <w:gridCol w:w="1134"/>
        <w:gridCol w:w="1205"/>
        <w:gridCol w:w="9"/>
      </w:tblGrid>
      <w:tr w:rsidR="000E5E0C" w:rsidRPr="000E5E0C" w:rsidTr="000E5E0C">
        <w:trPr>
          <w:gridAfter w:val="1"/>
          <w:wAfter w:w="9" w:type="dxa"/>
          <w:cantSplit/>
          <w:trHeight w:val="34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N</w:t>
            </w:r>
          </w:p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/</w:t>
            </w:r>
            <w:proofErr w:type="spellStart"/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ГОСТ, 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 xml:space="preserve">Кол – во, </w:t>
            </w:r>
            <w:proofErr w:type="spellStart"/>
            <w:proofErr w:type="gramStart"/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Цена за единицу, руб., в том числе НДС (20 %)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Общая цена, руб., в том числе</w:t>
            </w:r>
          </w:p>
          <w:p w:rsidR="00B721D8" w:rsidRPr="000E5E0C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</w:pPr>
            <w:r w:rsidRPr="000E5E0C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НДС (20 %)</w:t>
            </w:r>
          </w:p>
        </w:tc>
      </w:tr>
      <w:tr w:rsidR="007A4C85" w:rsidRPr="00424F84" w:rsidTr="000E5E0C">
        <w:trPr>
          <w:gridAfter w:val="1"/>
          <w:wAfter w:w="9" w:type="dxa"/>
          <w:cantSplit/>
          <w:trHeight w:val="469"/>
        </w:trPr>
        <w:tc>
          <w:tcPr>
            <w:tcW w:w="49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7A4C85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4C85" w:rsidRPr="0073697A" w:rsidRDefault="00DA4173" w:rsidP="00B41A5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</w:t>
            </w:r>
            <w:r w:rsidR="007C7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ансформатор ТМГ-</w:t>
            </w:r>
            <w:r w:rsidR="00B41A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630</w:t>
            </w:r>
            <w:r w:rsidR="007C7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/10-12 УХЛ</w:t>
            </w:r>
            <w:proofErr w:type="gramStart"/>
            <w:r w:rsidR="007C7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="007C7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424F84">
              <w:rPr>
                <w:rFonts w:ascii="Times New Roman" w:hAnsi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52719-2007</w:t>
            </w:r>
          </w:p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12.2.007.2-75</w:t>
            </w:r>
          </w:p>
          <w:p w:rsidR="007A4C85" w:rsidRPr="00424F84" w:rsidRDefault="007A4C85" w:rsidP="007A4C85">
            <w:pPr>
              <w:tabs>
                <w:tab w:val="num" w:pos="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12.2.024-87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4C85" w:rsidRPr="00424F84" w:rsidTr="000E5E0C">
        <w:trPr>
          <w:gridAfter w:val="1"/>
          <w:wAfter w:w="9" w:type="dxa"/>
          <w:cantSplit/>
          <w:trHeight w:val="268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холостого хода,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A4C85" w:rsidRPr="00424F84" w:rsidTr="000E5E0C">
        <w:trPr>
          <w:gridAfter w:val="1"/>
          <w:wAfter w:w="9" w:type="dxa"/>
          <w:cantSplit/>
          <w:trHeight w:val="418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7A4C85" w:rsidRDefault="007A4C85" w:rsidP="007A4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4F84">
              <w:rPr>
                <w:rFonts w:ascii="Times New Roman" w:hAnsi="Times New Roman"/>
                <w:sz w:val="20"/>
                <w:szCs w:val="20"/>
              </w:rPr>
              <w:t xml:space="preserve">Потери короткого замыкания, </w:t>
            </w:r>
            <w:proofErr w:type="gramStart"/>
            <w:r w:rsidRPr="00424F84">
              <w:rPr>
                <w:rFonts w:ascii="Times New Roman" w:hAnsi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left" w:pos="57"/>
                <w:tab w:val="left" w:pos="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tabs>
                <w:tab w:val="num" w:pos="360"/>
              </w:tabs>
              <w:autoSpaceDE w:val="0"/>
              <w:autoSpaceDN w:val="0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4C85" w:rsidRPr="00424F84" w:rsidRDefault="007A4C85" w:rsidP="007A4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B721D8" w:rsidRPr="00424F84" w:rsidTr="000E5E0C">
        <w:trPr>
          <w:cantSplit/>
          <w:trHeight w:val="263"/>
        </w:trPr>
        <w:tc>
          <w:tcPr>
            <w:tcW w:w="87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424F84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24F84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1D8" w:rsidRPr="00424F84" w:rsidRDefault="00B721D8" w:rsidP="001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B721D8" w:rsidRPr="00424F8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 xml:space="preserve">Общая стоимость: 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Срок поставки: не более 30 календарных дней с момента подписания договора.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поставки: </w:t>
      </w:r>
      <w:proofErr w:type="gramStart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. Пенза, ул. Стрельбищенская 13.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Завод изготовитель: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B721D8" w:rsidRPr="00424F84" w:rsidRDefault="00B721D8" w:rsidP="00B721D8">
      <w:pPr>
        <w:pStyle w:val="a9"/>
        <w:keepNext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>Комплектация: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color w:val="000000"/>
          <w:sz w:val="20"/>
          <w:szCs w:val="20"/>
        </w:rPr>
      </w:pPr>
      <w:r w:rsidRPr="00424F84">
        <w:rPr>
          <w:sz w:val="20"/>
          <w:szCs w:val="20"/>
        </w:rPr>
        <w:t xml:space="preserve">- </w:t>
      </w:r>
      <w:r w:rsidRPr="00424F84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трансформатора;</w:t>
      </w:r>
    </w:p>
    <w:p w:rsidR="00B721D8" w:rsidRPr="00424F84" w:rsidRDefault="00B721D8" w:rsidP="00B721D8">
      <w:pPr>
        <w:pStyle w:val="afff1"/>
        <w:tabs>
          <w:tab w:val="clear" w:pos="360"/>
          <w:tab w:val="left" w:pos="57"/>
          <w:tab w:val="left" w:pos="180"/>
          <w:tab w:val="left" w:pos="284"/>
        </w:tabs>
        <w:spacing w:before="0" w:line="240" w:lineRule="auto"/>
        <w:ind w:left="0" w:firstLine="0"/>
        <w:contextualSpacing/>
        <w:rPr>
          <w:sz w:val="20"/>
          <w:szCs w:val="20"/>
        </w:rPr>
      </w:pPr>
      <w:r w:rsidRPr="00424F84">
        <w:rPr>
          <w:color w:val="000000"/>
          <w:sz w:val="20"/>
          <w:szCs w:val="20"/>
        </w:rPr>
        <w:t xml:space="preserve">- </w:t>
      </w:r>
      <w:r w:rsidRPr="00424F84">
        <w:rPr>
          <w:sz w:val="20"/>
          <w:szCs w:val="20"/>
        </w:rPr>
        <w:t xml:space="preserve">На швеллерах, устанавливаются </w:t>
      </w:r>
      <w:r w:rsidRPr="00424F84">
        <w:rPr>
          <w:bCs/>
          <w:sz w:val="20"/>
          <w:szCs w:val="20"/>
        </w:rPr>
        <w:t>транспортировочные</w:t>
      </w:r>
      <w:r w:rsidRPr="00424F84">
        <w:rPr>
          <w:sz w:val="20"/>
          <w:szCs w:val="20"/>
        </w:rPr>
        <w:t xml:space="preserve"> ролики.</w:t>
      </w:r>
    </w:p>
    <w:p w:rsidR="00B721D8" w:rsidRPr="00424F84" w:rsidRDefault="00B721D8" w:rsidP="00B721D8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F84"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4F84">
        <w:rPr>
          <w:rFonts w:ascii="Times New Roman" w:hAnsi="Times New Roman"/>
          <w:sz w:val="20"/>
          <w:szCs w:val="20"/>
        </w:rPr>
        <w:t>Продукция должна быть новой и ра</w:t>
      </w:r>
      <w:r w:rsidR="00DA4173">
        <w:rPr>
          <w:rFonts w:ascii="Times New Roman" w:hAnsi="Times New Roman"/>
          <w:sz w:val="20"/>
          <w:szCs w:val="20"/>
        </w:rPr>
        <w:t>нее неиспользованной, не ранее 4</w:t>
      </w:r>
      <w:r w:rsidRPr="00424F84">
        <w:rPr>
          <w:rFonts w:ascii="Times New Roman" w:hAnsi="Times New Roman"/>
          <w:sz w:val="20"/>
          <w:szCs w:val="20"/>
        </w:rPr>
        <w:t xml:space="preserve"> кв. 2020 г. выпуска.</w:t>
      </w:r>
    </w:p>
    <w:p w:rsidR="00660820" w:rsidRPr="00B721D8" w:rsidRDefault="00B721D8" w:rsidP="00B721D8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721D8">
        <w:rPr>
          <w:i w:val="0"/>
          <w:sz w:val="20"/>
          <w:szCs w:val="20"/>
        </w:rPr>
        <w:t xml:space="preserve">9.  Гарантия качества: </w:t>
      </w:r>
      <w:r>
        <w:rPr>
          <w:i w:val="0"/>
          <w:sz w:val="20"/>
          <w:szCs w:val="20"/>
        </w:rPr>
        <w:t>______________________</w:t>
      </w: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F25FF1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DA4173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5E0C" w:rsidRDefault="000E5E0C" w:rsidP="000E5E0C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3C2818" w:rsidP="00DA4173">
      <w:pPr>
        <w:pStyle w:val="2"/>
        <w:pageBreakBefore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7A4C85">
          <w:footerReference w:type="default" r:id="rId36"/>
          <w:pgSz w:w="11906" w:h="16838"/>
          <w:pgMar w:top="851" w:right="849" w:bottom="709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256" w:tblpY="122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529"/>
        <w:gridCol w:w="1717"/>
        <w:gridCol w:w="1092"/>
        <w:gridCol w:w="1553"/>
        <w:gridCol w:w="1134"/>
        <w:gridCol w:w="1371"/>
      </w:tblGrid>
      <w:tr w:rsidR="000E5E0C" w:rsidRPr="00F25FF1" w:rsidTr="000E5E0C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Номинальная мощность, </w:t>
            </w:r>
            <w:proofErr w:type="spellStart"/>
            <w:r>
              <w:rPr>
                <w:b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C" w:rsidRPr="00F25FF1" w:rsidRDefault="000E5E0C" w:rsidP="007A4C85">
            <w:pPr>
              <w:pStyle w:val="afff1"/>
              <w:tabs>
                <w:tab w:val="clear" w:pos="360"/>
              </w:tabs>
              <w:spacing w:before="0" w:line="240" w:lineRule="auto"/>
              <w:ind w:left="1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Потери короткого замыкания, Вт</w:t>
            </w:r>
          </w:p>
        </w:tc>
      </w:tr>
      <w:tr w:rsidR="00B41A5E" w:rsidRPr="00F25FF1" w:rsidTr="000E5E0C">
        <w:trPr>
          <w:trHeight w:val="1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F25FF1" w:rsidRDefault="00B41A5E" w:rsidP="00B41A5E">
            <w:pPr>
              <w:pStyle w:val="aff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73697A" w:rsidRDefault="00B41A5E" w:rsidP="00B41A5E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Силовой трансформатор ТМГ-630/10-12 УХЛ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10/0,4кВ </w:t>
            </w:r>
            <w:r w:rsidRPr="00F25FF1">
              <w:rPr>
                <w:b/>
                <w:sz w:val="20"/>
                <w:szCs w:val="20"/>
              </w:rPr>
              <w:t>∆/У</w:t>
            </w:r>
            <w:r w:rsidRPr="00F25FF1">
              <w:rPr>
                <w:b/>
                <w:sz w:val="20"/>
                <w:szCs w:val="20"/>
                <w:vertAlign w:val="subscript"/>
              </w:rPr>
              <w:t xml:space="preserve">н-11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A5E" w:rsidRDefault="00B41A5E" w:rsidP="00B41A5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Р52719-2007</w:t>
            </w:r>
          </w:p>
          <w:p w:rsidR="00B41A5E" w:rsidRDefault="00B41A5E" w:rsidP="00B41A5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41A5E" w:rsidRDefault="00B41A5E" w:rsidP="00B41A5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12.2.007.2-75</w:t>
            </w:r>
          </w:p>
          <w:p w:rsidR="00B41A5E" w:rsidRPr="00F25FF1" w:rsidRDefault="00B41A5E" w:rsidP="00B41A5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B41A5E" w:rsidRPr="00F25FF1" w:rsidRDefault="00B41A5E" w:rsidP="00B41A5E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12.2.024-87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6759F9" w:rsidRDefault="00B41A5E" w:rsidP="00B41A5E">
            <w:pPr>
              <w:pStyle w:val="aff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Default="00B41A5E" w:rsidP="00B41A5E">
            <w:pPr>
              <w:pStyle w:val="afff1"/>
              <w:tabs>
                <w:tab w:val="left" w:pos="57"/>
                <w:tab w:val="left" w:pos="18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250914" w:rsidRDefault="00B41A5E" w:rsidP="00B41A5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A5E" w:rsidRPr="00250914" w:rsidRDefault="00B41A5E" w:rsidP="00B41A5E">
            <w:pPr>
              <w:pStyle w:val="afff1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250914">
              <w:rPr>
                <w:b/>
                <w:sz w:val="18"/>
                <w:szCs w:val="18"/>
              </w:rPr>
              <w:t xml:space="preserve">≤ </w:t>
            </w:r>
            <w:r>
              <w:rPr>
                <w:b/>
                <w:sz w:val="18"/>
                <w:szCs w:val="18"/>
              </w:rPr>
              <w:t>6750</w:t>
            </w:r>
          </w:p>
        </w:tc>
      </w:tr>
    </w:tbl>
    <w:p w:rsidR="00CD4A5A" w:rsidRDefault="00CD4A5A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35520" w:rsidRDefault="00EE0A82" w:rsidP="00835520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Комплектация:</w:t>
      </w:r>
    </w:p>
    <w:p w:rsidR="00EE0A82" w:rsidRPr="00EE0A82" w:rsidRDefault="007F68F3" w:rsidP="00EE0A82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EE0A82" w:rsidRPr="00EE0A82">
        <w:rPr>
          <w:sz w:val="20"/>
          <w:szCs w:val="20"/>
        </w:rPr>
        <w:t xml:space="preserve"> </w:t>
      </w:r>
      <w:r w:rsidR="00EE0A82" w:rsidRPr="00EE0A82">
        <w:rPr>
          <w:color w:val="000000"/>
          <w:sz w:val="20"/>
          <w:szCs w:val="20"/>
        </w:rPr>
        <w:t>Контактные зажимы на шпильке 0,4кВ обязательные к поставке на каждый вид трансформатора.</w:t>
      </w:r>
    </w:p>
    <w:p w:rsidR="00EE0A82" w:rsidRDefault="007F68F3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="00EE0A82" w:rsidRPr="00EE0A82">
        <w:rPr>
          <w:sz w:val="20"/>
          <w:szCs w:val="20"/>
        </w:rPr>
        <w:t xml:space="preserve">На швеллерах, устанавливаются </w:t>
      </w:r>
      <w:r w:rsidR="00EE0A82" w:rsidRPr="00EE0A82">
        <w:rPr>
          <w:bCs/>
          <w:sz w:val="20"/>
          <w:szCs w:val="20"/>
        </w:rPr>
        <w:t>транспортировочные</w:t>
      </w:r>
      <w:r w:rsidR="00EE0A82" w:rsidRPr="00EE0A82">
        <w:rPr>
          <w:sz w:val="20"/>
          <w:szCs w:val="20"/>
        </w:rPr>
        <w:t xml:space="preserve"> ролики.</w:t>
      </w:r>
    </w:p>
    <w:p w:rsidR="00C1509D" w:rsidRPr="007F68F3" w:rsidRDefault="00C1509D" w:rsidP="007F68F3">
      <w:pPr>
        <w:pStyle w:val="afff1"/>
        <w:tabs>
          <w:tab w:val="clear" w:pos="360"/>
          <w:tab w:val="left" w:pos="57"/>
          <w:tab w:val="left" w:pos="180"/>
        </w:tabs>
        <w:spacing w:before="0" w:line="240" w:lineRule="auto"/>
        <w:ind w:left="16" w:firstLine="0"/>
        <w:rPr>
          <w:color w:val="000000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DA4173">
        <w:rPr>
          <w:rFonts w:ascii="Times New Roman" w:hAnsi="Times New Roman"/>
          <w:sz w:val="20"/>
          <w:szCs w:val="20"/>
        </w:rPr>
        <w:t>4</w:t>
      </w:r>
      <w:r w:rsidR="009C337C">
        <w:rPr>
          <w:rFonts w:ascii="Times New Roman" w:hAnsi="Times New Roman"/>
          <w:sz w:val="20"/>
          <w:szCs w:val="20"/>
        </w:rPr>
        <w:t xml:space="preserve"> кв. 2020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должна иметь сертификат соответствия системы сертификации ГОСТ Р или декларацию соответствия.</w:t>
      </w:r>
    </w:p>
    <w:p w:rsidR="00C418CA" w:rsidRPr="00E735D9" w:rsidRDefault="00CE27FB" w:rsidP="00E735D9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CF3EBB" w:rsidRPr="000E5E0C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bCs/>
          <w:sz w:val="20"/>
          <w:szCs w:val="20"/>
        </w:rPr>
        <w:t xml:space="preserve">Срок поставки продукции: </w:t>
      </w:r>
      <w:r w:rsidRPr="000E5E0C">
        <w:rPr>
          <w:rFonts w:ascii="Times New Roman" w:hAnsi="Times New Roman"/>
          <w:sz w:val="20"/>
          <w:szCs w:val="20"/>
        </w:rPr>
        <w:t>не более 30 календарных дней  с момента подписания договора.</w:t>
      </w:r>
    </w:p>
    <w:p w:rsidR="00CF3EBB" w:rsidRPr="00CF3EBB" w:rsidRDefault="00CF3EBB" w:rsidP="00CF3EB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E5E0C">
        <w:rPr>
          <w:rFonts w:ascii="Times New Roman" w:hAnsi="Times New Roman"/>
          <w:sz w:val="20"/>
          <w:szCs w:val="20"/>
        </w:rPr>
        <w:t>Условия оплаты: оплата</w:t>
      </w:r>
      <w:r w:rsidRPr="00CF3EBB">
        <w:rPr>
          <w:rFonts w:ascii="Times New Roman" w:hAnsi="Times New Roman"/>
          <w:sz w:val="20"/>
          <w:szCs w:val="20"/>
        </w:rPr>
        <w:t xml:space="preserve">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D1" w:rsidRDefault="00251BD1" w:rsidP="004471A3">
      <w:pPr>
        <w:spacing w:after="0" w:line="240" w:lineRule="auto"/>
      </w:pPr>
      <w:r>
        <w:separator/>
      </w:r>
    </w:p>
  </w:endnote>
  <w:endnote w:type="continuationSeparator" w:id="0">
    <w:p w:rsidR="00251BD1" w:rsidRDefault="00251BD1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D1" w:rsidRDefault="00251BD1" w:rsidP="00A977A6">
    <w:pPr>
      <w:pStyle w:val="ae"/>
      <w:rPr>
        <w:szCs w:val="18"/>
      </w:rPr>
    </w:pPr>
  </w:p>
  <w:p w:rsidR="00251BD1" w:rsidRPr="00441775" w:rsidRDefault="00251BD1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D1" w:rsidRPr="00E822B1" w:rsidRDefault="00404346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251BD1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5E29B7">
      <w:rPr>
        <w:rFonts w:ascii="Times New Roman" w:hAnsi="Times New Roman"/>
        <w:noProof/>
        <w:sz w:val="24"/>
        <w:szCs w:val="24"/>
      </w:rPr>
      <w:t>19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D1" w:rsidRPr="00E822B1" w:rsidRDefault="00251BD1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D1" w:rsidRPr="003C65A5" w:rsidRDefault="00404346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251BD1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5E29B7">
      <w:rPr>
        <w:rFonts w:ascii="Times New Roman" w:hAnsi="Times New Roman"/>
        <w:bCs/>
        <w:noProof/>
        <w:sz w:val="24"/>
        <w:szCs w:val="24"/>
      </w:rPr>
      <w:t>37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D1" w:rsidRDefault="00251BD1" w:rsidP="004471A3">
      <w:pPr>
        <w:spacing w:after="0" w:line="240" w:lineRule="auto"/>
      </w:pPr>
      <w:r>
        <w:separator/>
      </w:r>
    </w:p>
  </w:footnote>
  <w:footnote w:type="continuationSeparator" w:id="0">
    <w:p w:rsidR="00251BD1" w:rsidRDefault="00251BD1" w:rsidP="004471A3">
      <w:pPr>
        <w:spacing w:after="0" w:line="240" w:lineRule="auto"/>
      </w:pPr>
      <w:r>
        <w:continuationSeparator/>
      </w:r>
    </w:p>
  </w:footnote>
  <w:footnote w:id="1">
    <w:p w:rsidR="00251BD1" w:rsidRPr="006B29E1" w:rsidRDefault="00251BD1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251BD1" w:rsidRDefault="00251BD1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251BD1" w:rsidRPr="007C18BC" w:rsidRDefault="00251BD1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251BD1" w:rsidRPr="007C18BC" w:rsidRDefault="00251BD1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D1" w:rsidRDefault="00251BD1" w:rsidP="00E873A2">
    <w:pPr>
      <w:pStyle w:val="ac"/>
      <w:pageBreakBefore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6C5AAD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997B46"/>
    <w:multiLevelType w:val="hybridMultilevel"/>
    <w:tmpl w:val="F04E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4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1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5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7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9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1">
    <w:nsid w:val="7A5265B6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2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8"/>
  </w:num>
  <w:num w:numId="3">
    <w:abstractNumId w:val="39"/>
  </w:num>
  <w:num w:numId="4">
    <w:abstractNumId w:val="25"/>
  </w:num>
  <w:num w:numId="5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30"/>
  </w:num>
  <w:num w:numId="11">
    <w:abstractNumId w:val="40"/>
  </w:num>
  <w:num w:numId="12">
    <w:abstractNumId w:val="9"/>
  </w:num>
  <w:num w:numId="13">
    <w:abstractNumId w:val="22"/>
  </w:num>
  <w:num w:numId="14">
    <w:abstractNumId w:val="1"/>
  </w:num>
  <w:num w:numId="15">
    <w:abstractNumId w:val="23"/>
  </w:num>
  <w:num w:numId="16">
    <w:abstractNumId w:val="3"/>
  </w:num>
  <w:num w:numId="17">
    <w:abstractNumId w:val="13"/>
  </w:num>
  <w:num w:numId="18">
    <w:abstractNumId w:val="4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2"/>
  </w:num>
  <w:num w:numId="22">
    <w:abstractNumId w:val="26"/>
  </w:num>
  <w:num w:numId="23">
    <w:abstractNumId w:val="21"/>
  </w:num>
  <w:num w:numId="24">
    <w:abstractNumId w:val="6"/>
  </w:num>
  <w:num w:numId="25">
    <w:abstractNumId w:val="1"/>
    <w:lvlOverride w:ilvl="0">
      <w:startOverride w:val="9"/>
    </w:lvlOverride>
  </w:num>
  <w:num w:numId="26">
    <w:abstractNumId w:val="18"/>
  </w:num>
  <w:num w:numId="27">
    <w:abstractNumId w:val="35"/>
  </w:num>
  <w:num w:numId="28">
    <w:abstractNumId w:val="0"/>
  </w:num>
  <w:num w:numId="29">
    <w:abstractNumId w:val="44"/>
  </w:num>
  <w:num w:numId="30">
    <w:abstractNumId w:val="29"/>
  </w:num>
  <w:num w:numId="31">
    <w:abstractNumId w:val="17"/>
  </w:num>
  <w:num w:numId="32">
    <w:abstractNumId w:val="11"/>
  </w:num>
  <w:num w:numId="33">
    <w:abstractNumId w:val="24"/>
  </w:num>
  <w:num w:numId="34">
    <w:abstractNumId w:val="33"/>
  </w:num>
  <w:num w:numId="35">
    <w:abstractNumId w:val="1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5"/>
  </w:num>
  <w:num w:numId="39">
    <w:abstractNumId w:val="37"/>
  </w:num>
  <w:num w:numId="40">
    <w:abstractNumId w:val="8"/>
  </w:num>
  <w:num w:numId="41">
    <w:abstractNumId w:val="34"/>
  </w:num>
  <w:num w:numId="42">
    <w:abstractNumId w:val="27"/>
  </w:num>
  <w:num w:numId="43">
    <w:abstractNumId w:val="41"/>
  </w:num>
  <w:num w:numId="44">
    <w:abstractNumId w:val="2"/>
  </w:num>
  <w:num w:numId="45">
    <w:abstractNumId w:val="4"/>
  </w:num>
  <w:num w:numId="46">
    <w:abstractNumId w:val="19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6F6A"/>
    <w:rsid w:val="00087606"/>
    <w:rsid w:val="00097685"/>
    <w:rsid w:val="000A1EF5"/>
    <w:rsid w:val="000B01EB"/>
    <w:rsid w:val="000B56A9"/>
    <w:rsid w:val="000B7A02"/>
    <w:rsid w:val="000C3ED8"/>
    <w:rsid w:val="000C6140"/>
    <w:rsid w:val="000D1A78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B61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77A0"/>
    <w:rsid w:val="00251948"/>
    <w:rsid w:val="00251BD1"/>
    <w:rsid w:val="002577AF"/>
    <w:rsid w:val="00260416"/>
    <w:rsid w:val="002614B3"/>
    <w:rsid w:val="002634E8"/>
    <w:rsid w:val="00265B51"/>
    <w:rsid w:val="00271050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4346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03D4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29B7"/>
    <w:rsid w:val="005E47F2"/>
    <w:rsid w:val="005E7004"/>
    <w:rsid w:val="005F0478"/>
    <w:rsid w:val="005F6661"/>
    <w:rsid w:val="006007CD"/>
    <w:rsid w:val="00603148"/>
    <w:rsid w:val="0060366E"/>
    <w:rsid w:val="0060375E"/>
    <w:rsid w:val="00615B8C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F4FB5"/>
    <w:rsid w:val="00700318"/>
    <w:rsid w:val="00700C51"/>
    <w:rsid w:val="00702A7A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3EC"/>
    <w:rsid w:val="00775D29"/>
    <w:rsid w:val="007839F7"/>
    <w:rsid w:val="0079207D"/>
    <w:rsid w:val="00794965"/>
    <w:rsid w:val="00795C78"/>
    <w:rsid w:val="007A0E3C"/>
    <w:rsid w:val="007A2233"/>
    <w:rsid w:val="007A3A16"/>
    <w:rsid w:val="007A4C85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488"/>
    <w:rsid w:val="007C7D40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D2B0B"/>
    <w:rsid w:val="00AD3026"/>
    <w:rsid w:val="00AD421C"/>
    <w:rsid w:val="00AD4B1F"/>
    <w:rsid w:val="00AD4CEF"/>
    <w:rsid w:val="00AD55C3"/>
    <w:rsid w:val="00AD7A6A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63AC"/>
    <w:rsid w:val="00B34F41"/>
    <w:rsid w:val="00B35AC7"/>
    <w:rsid w:val="00B36E54"/>
    <w:rsid w:val="00B371C4"/>
    <w:rsid w:val="00B41A5E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1F73"/>
    <w:rsid w:val="00B64DE2"/>
    <w:rsid w:val="00B721D8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D04909"/>
    <w:rsid w:val="00D11DF3"/>
    <w:rsid w:val="00D1422C"/>
    <w:rsid w:val="00D17F7D"/>
    <w:rsid w:val="00D2410E"/>
    <w:rsid w:val="00D33EF5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71F98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21F8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footer" Target="footer3.xml"/><Relationship Id="rId26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043044.1000" TargetMode="External"/><Relationship Id="rId34" Type="http://schemas.openxmlformats.org/officeDocument/2006/relationships/hyperlink" Target="garantF1://70253464.104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openxmlformats.org/officeDocument/2006/relationships/footer" Target="footer2.xml"/><Relationship Id="rId25" Type="http://schemas.openxmlformats.org/officeDocument/2006/relationships/hyperlink" Target="garantF1://35919.1602" TargetMode="External"/><Relationship Id="rId33" Type="http://schemas.openxmlformats.org/officeDocument/2006/relationships/hyperlink" Target="garantF1://12088083.5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12054854.4" TargetMode="External"/><Relationship Id="rId29" Type="http://schemas.openxmlformats.org/officeDocument/2006/relationships/hyperlink" Target="garantF1://70550726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71049550.5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garantF1://70717040.1000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garantF1://12054854.43" TargetMode="External"/><Relationship Id="rId31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12079043.1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30.0" TargetMode="External"/><Relationship Id="rId35" Type="http://schemas.openxmlformats.org/officeDocument/2006/relationships/hyperlink" Target="garantF1://12054854.401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80CE-8CF7-418D-9B2C-22B66476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39</Pages>
  <Words>19177</Words>
  <Characters>109314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128235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2021-04-02T12:21:00Z</cp:lastPrinted>
  <dcterms:created xsi:type="dcterms:W3CDTF">2021-04-02T12:06:00Z</dcterms:created>
  <dcterms:modified xsi:type="dcterms:W3CDTF">2021-04-07T06:32:00Z</dcterms:modified>
</cp:coreProperties>
</file>